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2A" w:rsidRPr="00DE4CE7" w:rsidRDefault="00F91E2A" w:rsidP="00F9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CE7">
        <w:rPr>
          <w:rFonts w:ascii="Times New Roman" w:hAnsi="Times New Roman" w:cs="Times New Roman"/>
          <w:sz w:val="24"/>
          <w:szCs w:val="24"/>
        </w:rPr>
        <w:t xml:space="preserve">Приложение  № 1  </w:t>
      </w:r>
    </w:p>
    <w:p w:rsidR="00F91E2A" w:rsidRPr="00DE4CE7" w:rsidRDefault="00F91E2A" w:rsidP="00F9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CE7">
        <w:rPr>
          <w:rFonts w:ascii="Times New Roman" w:hAnsi="Times New Roman" w:cs="Times New Roman"/>
          <w:sz w:val="24"/>
          <w:szCs w:val="24"/>
        </w:rPr>
        <w:t xml:space="preserve">к  приказу  КУ </w:t>
      </w:r>
      <w:proofErr w:type="gramStart"/>
      <w:r w:rsidRPr="00DE4CE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E4CE7">
        <w:rPr>
          <w:rFonts w:ascii="Times New Roman" w:hAnsi="Times New Roman" w:cs="Times New Roman"/>
          <w:sz w:val="24"/>
          <w:szCs w:val="24"/>
        </w:rPr>
        <w:t xml:space="preserve"> «Новохоперский </w:t>
      </w:r>
      <w:proofErr w:type="spellStart"/>
      <w:r w:rsidRPr="00DE4CE7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DE4CE7">
        <w:rPr>
          <w:rFonts w:ascii="Times New Roman" w:hAnsi="Times New Roman" w:cs="Times New Roman"/>
          <w:sz w:val="24"/>
          <w:szCs w:val="24"/>
        </w:rPr>
        <w:t>»</w:t>
      </w:r>
    </w:p>
    <w:p w:rsidR="00F91E2A" w:rsidRPr="00DE4CE7" w:rsidRDefault="00F91E2A" w:rsidP="00F91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CE7">
        <w:rPr>
          <w:rFonts w:ascii="Times New Roman" w:hAnsi="Times New Roman" w:cs="Times New Roman"/>
          <w:sz w:val="24"/>
          <w:szCs w:val="24"/>
        </w:rPr>
        <w:t>от  10.08.2020   №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DE4CE7">
        <w:rPr>
          <w:rFonts w:ascii="Times New Roman" w:hAnsi="Times New Roman" w:cs="Times New Roman"/>
          <w:sz w:val="24"/>
          <w:szCs w:val="24"/>
        </w:rPr>
        <w:t>/ОД</w:t>
      </w:r>
    </w:p>
    <w:p w:rsidR="00F91E2A" w:rsidRPr="00DE4CE7" w:rsidRDefault="00F91E2A" w:rsidP="00F91E2A">
      <w:pPr>
        <w:pStyle w:val="Default"/>
      </w:pPr>
    </w:p>
    <w:p w:rsidR="00F91E2A" w:rsidRPr="00DE4CE7" w:rsidRDefault="00F91E2A" w:rsidP="00F91E2A">
      <w:pPr>
        <w:pStyle w:val="Default"/>
        <w:jc w:val="center"/>
      </w:pPr>
      <w:r w:rsidRPr="00DE4CE7">
        <w:rPr>
          <w:b/>
          <w:bCs/>
        </w:rPr>
        <w:t>ПОРЯДОК</w:t>
      </w:r>
    </w:p>
    <w:p w:rsidR="00F91E2A" w:rsidRPr="00DE4CE7" w:rsidRDefault="00F91E2A" w:rsidP="00F91E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CE7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оценки коррупционных рисков в деятельности </w:t>
      </w:r>
    </w:p>
    <w:p w:rsidR="00F91E2A" w:rsidRPr="00DE4CE7" w:rsidRDefault="00F91E2A" w:rsidP="00F91E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DE4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DE4CE7">
        <w:rPr>
          <w:rFonts w:ascii="Times New Roman" w:hAnsi="Times New Roman" w:cs="Times New Roman"/>
          <w:b/>
          <w:bCs/>
          <w:sz w:val="24"/>
          <w:szCs w:val="24"/>
        </w:rPr>
        <w:t xml:space="preserve"> «Новохоперский </w:t>
      </w:r>
      <w:proofErr w:type="spellStart"/>
      <w:r w:rsidRPr="00DE4CE7">
        <w:rPr>
          <w:rFonts w:ascii="Times New Roman" w:hAnsi="Times New Roman" w:cs="Times New Roman"/>
          <w:b/>
          <w:bCs/>
          <w:sz w:val="24"/>
          <w:szCs w:val="24"/>
        </w:rPr>
        <w:t>СРЦдН</w:t>
      </w:r>
      <w:proofErr w:type="spellEnd"/>
      <w:r w:rsidRPr="00DE4CE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F91E2A" w:rsidRPr="00DE4CE7" w:rsidRDefault="00F91E2A" w:rsidP="00F91E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E2A" w:rsidRPr="00DE4CE7" w:rsidRDefault="00F91E2A" w:rsidP="00F91E2A">
      <w:pPr>
        <w:tabs>
          <w:tab w:val="left" w:pos="45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E7">
        <w:rPr>
          <w:rFonts w:ascii="Times New Roman" w:hAnsi="Times New Roman" w:cs="Times New Roman"/>
          <w:b/>
          <w:sz w:val="24"/>
          <w:szCs w:val="24"/>
        </w:rPr>
        <w:t>1 . Общие положения</w:t>
      </w:r>
    </w:p>
    <w:p w:rsidR="00F91E2A" w:rsidRPr="00DE4CE7" w:rsidRDefault="00F91E2A" w:rsidP="00F91E2A">
      <w:pPr>
        <w:pStyle w:val="a3"/>
        <w:numPr>
          <w:ilvl w:val="1"/>
          <w:numId w:val="1"/>
        </w:numPr>
        <w:tabs>
          <w:tab w:val="left" w:pos="1292"/>
        </w:tabs>
        <w:ind w:right="107" w:firstLine="708"/>
        <w:rPr>
          <w:sz w:val="24"/>
          <w:szCs w:val="24"/>
          <w:lang w:val="ru-RU"/>
        </w:rPr>
      </w:pPr>
      <w:r w:rsidRPr="00DE4CE7">
        <w:rPr>
          <w:sz w:val="24"/>
          <w:szCs w:val="24"/>
          <w:lang w:val="ru-RU"/>
        </w:rPr>
        <w:t xml:space="preserve">Оценка коррупционных рисков является важнейшим элементом </w:t>
      </w:r>
      <w:proofErr w:type="spellStart"/>
      <w:r w:rsidRPr="00DE4CE7">
        <w:rPr>
          <w:sz w:val="24"/>
          <w:szCs w:val="24"/>
          <w:lang w:val="ru-RU"/>
        </w:rPr>
        <w:t>антикоррупционной</w:t>
      </w:r>
      <w:proofErr w:type="spellEnd"/>
      <w:r w:rsidRPr="00DE4CE7">
        <w:rPr>
          <w:sz w:val="24"/>
          <w:szCs w:val="24"/>
          <w:lang w:val="ru-RU"/>
        </w:rPr>
        <w:t xml:space="preserve"> политики  казенного учреждения Воронежской области «Новохоперский социально-реабилитационный центр для несовершеннолетних» (КУ </w:t>
      </w:r>
      <w:proofErr w:type="gramStart"/>
      <w:r w:rsidRPr="00DE4CE7">
        <w:rPr>
          <w:sz w:val="24"/>
          <w:szCs w:val="24"/>
          <w:lang w:val="ru-RU"/>
        </w:rPr>
        <w:t>ВО</w:t>
      </w:r>
      <w:proofErr w:type="gramEnd"/>
      <w:r w:rsidRPr="00DE4CE7">
        <w:rPr>
          <w:sz w:val="24"/>
          <w:szCs w:val="24"/>
          <w:lang w:val="ru-RU"/>
        </w:rPr>
        <w:t xml:space="preserve"> «Новохоперский </w:t>
      </w:r>
      <w:proofErr w:type="spellStart"/>
      <w:r w:rsidRPr="00DE4CE7">
        <w:rPr>
          <w:sz w:val="24"/>
          <w:szCs w:val="24"/>
          <w:lang w:val="ru-RU"/>
        </w:rPr>
        <w:t>СРЦдН</w:t>
      </w:r>
      <w:proofErr w:type="spellEnd"/>
      <w:r w:rsidRPr="00DE4CE7">
        <w:rPr>
          <w:sz w:val="24"/>
          <w:szCs w:val="24"/>
          <w:lang w:val="ru-RU"/>
        </w:rPr>
        <w:t xml:space="preserve">») (далее – Учреждение) позволяет обеспечить соответствие реализуемых </w:t>
      </w:r>
      <w:proofErr w:type="spellStart"/>
      <w:r w:rsidRPr="00DE4CE7">
        <w:rPr>
          <w:sz w:val="24"/>
          <w:szCs w:val="24"/>
          <w:lang w:val="ru-RU"/>
        </w:rPr>
        <w:t>антикоррупционных</w:t>
      </w:r>
      <w:proofErr w:type="spellEnd"/>
      <w:r w:rsidRPr="00DE4CE7">
        <w:rPr>
          <w:sz w:val="24"/>
          <w:szCs w:val="24"/>
          <w:lang w:val="ru-RU"/>
        </w:rPr>
        <w:t xml:space="preserve"> мероприятий специфике деятельности  Учреждения и рационально использовать ресурсы, направляемые на проведение работы по профилактике коррупции в Учреждении.</w:t>
      </w:r>
    </w:p>
    <w:p w:rsidR="00F91E2A" w:rsidRPr="00DE4CE7" w:rsidRDefault="00F91E2A" w:rsidP="00F91E2A">
      <w:pPr>
        <w:pStyle w:val="a3"/>
        <w:numPr>
          <w:ilvl w:val="1"/>
          <w:numId w:val="1"/>
        </w:numPr>
        <w:tabs>
          <w:tab w:val="left" w:pos="1270"/>
        </w:tabs>
        <w:ind w:right="105" w:firstLine="708"/>
        <w:rPr>
          <w:sz w:val="24"/>
          <w:szCs w:val="24"/>
          <w:lang w:val="ru-RU"/>
        </w:rPr>
      </w:pPr>
      <w:r w:rsidRPr="00DE4CE7">
        <w:rPr>
          <w:sz w:val="24"/>
          <w:szCs w:val="24"/>
          <w:lang w:val="ru-RU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F91E2A" w:rsidRPr="00DE4CE7" w:rsidRDefault="00F91E2A" w:rsidP="00F91E2A">
      <w:pPr>
        <w:pStyle w:val="a3"/>
        <w:tabs>
          <w:tab w:val="left" w:pos="1270"/>
        </w:tabs>
        <w:ind w:left="820" w:right="105" w:firstLine="0"/>
        <w:rPr>
          <w:sz w:val="24"/>
          <w:szCs w:val="24"/>
          <w:lang w:val="ru-RU"/>
        </w:rPr>
      </w:pPr>
    </w:p>
    <w:p w:rsidR="00F91E2A" w:rsidRPr="00DE4CE7" w:rsidRDefault="00F91E2A" w:rsidP="00F91E2A">
      <w:pPr>
        <w:pStyle w:val="a3"/>
        <w:ind w:firstLine="0"/>
        <w:jc w:val="center"/>
        <w:rPr>
          <w:b/>
          <w:color w:val="000000"/>
          <w:sz w:val="24"/>
          <w:szCs w:val="24"/>
          <w:lang w:val="ru-RU"/>
        </w:rPr>
      </w:pPr>
      <w:r w:rsidRPr="00DE4CE7">
        <w:rPr>
          <w:b/>
          <w:color w:val="000000"/>
          <w:sz w:val="24"/>
          <w:szCs w:val="24"/>
          <w:lang w:val="ru-RU"/>
        </w:rPr>
        <w:t>2. Порядок проведения оценки коррупционных рисков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2.1. Оценка коррупционных рисков проводится на регулярной основе, ежегодно, в IV квартале текущего календарного года.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2.2. Порядок проведения оценки коррупционных рисков: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деятельность учреждения представляется в виде отдельных процессов, в каждом </w:t>
      </w:r>
      <w:proofErr w:type="gramStart"/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выделяются составные элементы (</w:t>
      </w:r>
      <w:proofErr w:type="spellStart"/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подпроцессы</w:t>
      </w:r>
      <w:proofErr w:type="spellEnd"/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2.2.2. выделяются «критические точки» для каждого процесса и определяются те элементы,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proofErr w:type="gramEnd"/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наиболее вероятно возникновение коррупционных правонарушений;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2.2.3. для каждого </w:t>
      </w:r>
      <w:proofErr w:type="spellStart"/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подпроцесса</w:t>
      </w:r>
      <w:proofErr w:type="spellEnd"/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реализация которого связана с коррупционным риском,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описание возможных коррупционных правонарушений, включающее: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характеристику выгоды или преимущества, которое может быть получено учреждением или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отдельными работниками при совершении «коррупционного правонарушения»;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-должности в учреждении, которые являются «ключевыми» для совершения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коррупционного правонарушения – </w:t>
      </w:r>
      <w:proofErr w:type="gramStart"/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должностных лиц учреждения необходимо, чтобы совершение коррупционного правонарушения стало возможным;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- вероятные формы осуществления коррупционных платежей.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2.3. На основании проведенного анализа подготовить «карту коррупционных рисков учреждения»</w:t>
      </w:r>
    </w:p>
    <w:p w:rsidR="00F91E2A" w:rsidRPr="00DE4CE7" w:rsidRDefault="00F91E2A" w:rsidP="00F91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– сводное описание «критических точек» и возможных коррупционных  правонарушений.</w:t>
      </w:r>
    </w:p>
    <w:p w:rsidR="00F91E2A" w:rsidRPr="00DE4CE7" w:rsidRDefault="00F91E2A" w:rsidP="00F91E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color w:val="000000"/>
          <w:sz w:val="24"/>
          <w:szCs w:val="24"/>
        </w:rPr>
        <w:t>2.4. Разработать комплекс мер по устранению или минимизации коррупционных рисков.</w:t>
      </w:r>
    </w:p>
    <w:p w:rsidR="00F91E2A" w:rsidRPr="00DE4CE7" w:rsidRDefault="00F91E2A" w:rsidP="00F91E2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4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Карта коррупционных рисков</w:t>
      </w:r>
    </w:p>
    <w:p w:rsidR="00F91E2A" w:rsidRPr="00DE4CE7" w:rsidRDefault="00F91E2A" w:rsidP="00F91E2A">
      <w:pPr>
        <w:tabs>
          <w:tab w:val="left" w:pos="1306"/>
        </w:tabs>
        <w:spacing w:after="0"/>
        <w:ind w:right="109"/>
        <w:rPr>
          <w:rFonts w:ascii="Times New Roman" w:hAnsi="Times New Roman" w:cs="Times New Roman"/>
          <w:sz w:val="24"/>
          <w:szCs w:val="24"/>
        </w:rPr>
      </w:pPr>
      <w:r w:rsidRPr="00DE4CE7">
        <w:rPr>
          <w:rFonts w:ascii="Times New Roman" w:hAnsi="Times New Roman" w:cs="Times New Roman"/>
          <w:sz w:val="24"/>
          <w:szCs w:val="24"/>
        </w:rPr>
        <w:t>3.1. 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F91E2A" w:rsidRPr="00DE4CE7" w:rsidRDefault="00F91E2A" w:rsidP="00F91E2A">
      <w:pPr>
        <w:tabs>
          <w:tab w:val="left" w:pos="1270"/>
        </w:tabs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DE4CE7">
        <w:rPr>
          <w:rFonts w:ascii="Times New Roman" w:hAnsi="Times New Roman" w:cs="Times New Roman"/>
          <w:sz w:val="24"/>
          <w:szCs w:val="24"/>
        </w:rPr>
        <w:lastRenderedPageBreak/>
        <w:t>3.2. 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F91E2A" w:rsidRPr="00DE4CE7" w:rsidRDefault="00F91E2A" w:rsidP="00F91E2A">
      <w:pPr>
        <w:tabs>
          <w:tab w:val="left" w:pos="1241"/>
        </w:tabs>
        <w:spacing w:after="0"/>
        <w:ind w:right="110"/>
        <w:rPr>
          <w:rFonts w:ascii="Times New Roman" w:hAnsi="Times New Roman" w:cs="Times New Roman"/>
          <w:sz w:val="24"/>
          <w:szCs w:val="24"/>
        </w:rPr>
      </w:pPr>
      <w:r w:rsidRPr="00DE4CE7">
        <w:rPr>
          <w:rFonts w:ascii="Times New Roman" w:hAnsi="Times New Roman" w:cs="Times New Roman"/>
          <w:sz w:val="24"/>
          <w:szCs w:val="24"/>
        </w:rPr>
        <w:t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</w:t>
      </w:r>
    </w:p>
    <w:p w:rsidR="00F91E2A" w:rsidRPr="00DE4CE7" w:rsidRDefault="00F91E2A" w:rsidP="00F91E2A">
      <w:pPr>
        <w:tabs>
          <w:tab w:val="left" w:pos="1387"/>
        </w:tabs>
        <w:spacing w:after="0"/>
        <w:ind w:right="107"/>
        <w:rPr>
          <w:rFonts w:ascii="Times New Roman" w:hAnsi="Times New Roman" w:cs="Times New Roman"/>
          <w:sz w:val="24"/>
          <w:szCs w:val="24"/>
        </w:rPr>
      </w:pPr>
      <w:r w:rsidRPr="00DE4CE7">
        <w:rPr>
          <w:rFonts w:ascii="Times New Roman" w:hAnsi="Times New Roman" w:cs="Times New Roman"/>
          <w:sz w:val="24"/>
          <w:szCs w:val="24"/>
        </w:rPr>
        <w:t>3.4.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F91E2A" w:rsidRPr="00DE4CE7" w:rsidRDefault="00F91E2A" w:rsidP="00F91E2A">
      <w:pPr>
        <w:rPr>
          <w:sz w:val="24"/>
          <w:szCs w:val="24"/>
        </w:rPr>
      </w:pPr>
    </w:p>
    <w:p w:rsidR="001F109A" w:rsidRDefault="001F109A"/>
    <w:sectPr w:rsidR="001F109A" w:rsidSect="00DD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794"/>
    <w:multiLevelType w:val="multilevel"/>
    <w:tmpl w:val="1ACA219E"/>
    <w:lvl w:ilvl="0">
      <w:start w:val="1"/>
      <w:numFmt w:val="decimal"/>
      <w:lvlText w:val="%1"/>
      <w:lvlJc w:val="left"/>
      <w:pPr>
        <w:ind w:left="112" w:hanging="471"/>
      </w:p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471"/>
      </w:pPr>
    </w:lvl>
    <w:lvl w:ilvl="3">
      <w:numFmt w:val="bullet"/>
      <w:lvlText w:val="•"/>
      <w:lvlJc w:val="left"/>
      <w:pPr>
        <w:ind w:left="3211" w:hanging="471"/>
      </w:pPr>
    </w:lvl>
    <w:lvl w:ilvl="4">
      <w:numFmt w:val="bullet"/>
      <w:lvlText w:val="•"/>
      <w:lvlJc w:val="left"/>
      <w:pPr>
        <w:ind w:left="4242" w:hanging="471"/>
      </w:pPr>
    </w:lvl>
    <w:lvl w:ilvl="5">
      <w:numFmt w:val="bullet"/>
      <w:lvlText w:val="•"/>
      <w:lvlJc w:val="left"/>
      <w:pPr>
        <w:ind w:left="5273" w:hanging="471"/>
      </w:pPr>
    </w:lvl>
    <w:lvl w:ilvl="6">
      <w:numFmt w:val="bullet"/>
      <w:lvlText w:val="•"/>
      <w:lvlJc w:val="left"/>
      <w:pPr>
        <w:ind w:left="6303" w:hanging="471"/>
      </w:pPr>
    </w:lvl>
    <w:lvl w:ilvl="7">
      <w:numFmt w:val="bullet"/>
      <w:lvlText w:val="•"/>
      <w:lvlJc w:val="left"/>
      <w:pPr>
        <w:ind w:left="7334" w:hanging="471"/>
      </w:pPr>
    </w:lvl>
    <w:lvl w:ilvl="8">
      <w:numFmt w:val="bullet"/>
      <w:lvlText w:val="•"/>
      <w:lvlJc w:val="left"/>
      <w:pPr>
        <w:ind w:left="8365" w:hanging="47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2A"/>
    <w:rsid w:val="001F109A"/>
    <w:rsid w:val="00F9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91E2A"/>
    <w:pPr>
      <w:widowControl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F91E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2021-06-29T08:43:00Z</dcterms:created>
  <dcterms:modified xsi:type="dcterms:W3CDTF">2021-06-29T08:43:00Z</dcterms:modified>
</cp:coreProperties>
</file>